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56" w:rsidRPr="00577F78" w:rsidRDefault="00D60305" w:rsidP="00B90B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ЩОДО НАВЧАННЯ ЗМІСТУ ГЕОГРАФІЇ УЧНІВ ЗАКЛАДІВ ЗАГАЛЬНОЇ СЕРЕДНЬОЇ ОСВІТИ</w:t>
      </w:r>
    </w:p>
    <w:p w:rsidR="00143B56" w:rsidRPr="00577F78" w:rsidRDefault="00143B56" w:rsidP="00B90B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D66A6" w:rsidRPr="00577F78" w:rsidRDefault="0097093F" w:rsidP="00B90BBE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а період призупинення освітнього процесу в заклад</w:t>
      </w: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ах загальної середньої освіти з 13.03 по 03.04.2020 К</w:t>
      </w:r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омунальний заклад Сумський обласний інститут післядипломної педагогічної освіти </w:t>
      </w:r>
      <w:r w:rsidR="00143B56" w:rsidRPr="00577F78">
        <w:rPr>
          <w:rFonts w:ascii="Times New Roman" w:hAnsi="Times New Roman" w:cs="Times New Roman"/>
          <w:sz w:val="28"/>
          <w:szCs w:val="28"/>
          <w:lang w:val="uk-UA"/>
        </w:rPr>
        <w:t>рекомендує забезпечити виконання навчальних планів освітніх програм з географії шляхом</w:t>
      </w:r>
      <w:r w:rsidR="003D66A6" w:rsidRPr="00577F7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D66A6" w:rsidRPr="00577F78" w:rsidRDefault="003D66A6" w:rsidP="00B90BBE">
      <w:pPr>
        <w:spacing w:after="0" w:line="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перерозподілу навчальних годин за рахунок резервного часу та інтенсифікації освітнього процесу</w:t>
      </w: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43B56" w:rsidRPr="00577F78" w:rsidRDefault="001E42DA" w:rsidP="00B90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– </w:t>
      </w:r>
      <w:r w:rsidR="00143B56" w:rsidRPr="00577F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використання різних форм дистанційного навчання.</w:t>
      </w:r>
    </w:p>
    <w:p w:rsidR="00143B56" w:rsidRPr="00577F78" w:rsidRDefault="00F22445" w:rsidP="00B90BB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Перерозподіл навчальних годин та інтенсифікація освітнього процесу є можливими</w:t>
      </w:r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 рахунок: </w:t>
      </w:r>
    </w:p>
    <w:p w:rsidR="00143B56" w:rsidRPr="00577F78" w:rsidRDefault="00104DFF" w:rsidP="00B90BB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об’єднання навчальних тем або укрупнення дидактичних модулів; </w:t>
      </w:r>
    </w:p>
    <w:p w:rsidR="00143B56" w:rsidRPr="00577F78" w:rsidRDefault="00104DFF" w:rsidP="00B90BB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оглядового або самостійного вивчення навчального матеріалу, який не є базовим; </w:t>
      </w:r>
    </w:p>
    <w:p w:rsidR="00143B56" w:rsidRPr="00577F78" w:rsidRDefault="00104DFF" w:rsidP="00B90BB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використання технологій активного навчання, зокрема </w:t>
      </w:r>
      <w:proofErr w:type="spellStart"/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проєктної</w:t>
      </w:r>
      <w:proofErr w:type="spellEnd"/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діяльності; </w:t>
      </w:r>
    </w:p>
    <w:p w:rsidR="00143B56" w:rsidRPr="00577F78" w:rsidRDefault="00104DFF" w:rsidP="00B90BBE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 резервних годин навчальної програми та годин, передбачених на проведення окремих уроків</w:t>
      </w:r>
      <w:r w:rsidR="009609D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</w:t>
      </w:r>
      <w:r w:rsidR="00143B5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підготовки до тематичного оцінювання, корегування знань та умінь тощо.  </w:t>
      </w:r>
    </w:p>
    <w:p w:rsidR="009609D6" w:rsidRPr="00577F78" w:rsidRDefault="009609D6" w:rsidP="00B90B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 </w:t>
      </w:r>
      <w:r w:rsidR="001E42DA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цьому результати роботи над </w:t>
      </w:r>
      <w:proofErr w:type="spellStart"/>
      <w:r w:rsidR="001E42DA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>проє</w:t>
      </w:r>
      <w:r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>ктами</w:t>
      </w:r>
      <w:proofErr w:type="spellEnd"/>
      <w:r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(дослідженнями) учні </w:t>
      </w: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можуть виконати в формі мультимедійної презентації, буклету, газети, </w:t>
      </w:r>
      <w:proofErr w:type="spellStart"/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постеру</w:t>
      </w:r>
      <w:proofErr w:type="spellEnd"/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фотоколажу</w:t>
      </w:r>
      <w:proofErr w:type="spellEnd"/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тощо. </w:t>
      </w:r>
    </w:p>
    <w:p w:rsidR="00143B56" w:rsidRPr="00577F78" w:rsidRDefault="00BB40B0" w:rsidP="00B90BB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Відповідно до освітніх програм д</w:t>
      </w:r>
      <w:r w:rsidR="00143B56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ля самостійного опанування </w:t>
      </w:r>
      <w:r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учнями та </w:t>
      </w:r>
      <w:r w:rsidR="00143B56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практичних і </w:t>
      </w:r>
      <w:proofErr w:type="spellStart"/>
      <w:r w:rsidR="00143B56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проєктних</w:t>
      </w:r>
      <w:proofErr w:type="spellEnd"/>
      <w:r w:rsidR="00143B56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робіт (досліджень)</w:t>
      </w:r>
      <w:r w:rsidR="009609D6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пропонуємо</w:t>
      </w:r>
      <w:r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наступний навчальний матеріал та теми: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9"/>
        <w:gridCol w:w="3432"/>
        <w:gridCol w:w="5670"/>
      </w:tblGrid>
      <w:tr w:rsidR="00143B56" w:rsidRPr="00577F78" w:rsidTr="001E42DA">
        <w:tc>
          <w:tcPr>
            <w:tcW w:w="929" w:type="dxa"/>
          </w:tcPr>
          <w:p w:rsidR="00143B56" w:rsidRPr="00577F78" w:rsidRDefault="00143B56" w:rsidP="00CF3F98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432" w:type="dxa"/>
          </w:tcPr>
          <w:p w:rsidR="00143B56" w:rsidRPr="00577F78" w:rsidRDefault="00143B56" w:rsidP="00CF3F98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Навчальний матеріал</w:t>
            </w:r>
          </w:p>
        </w:tc>
        <w:tc>
          <w:tcPr>
            <w:tcW w:w="5670" w:type="dxa"/>
          </w:tcPr>
          <w:p w:rsidR="00143B56" w:rsidRPr="00577F78" w:rsidRDefault="00F22445" w:rsidP="00CF3F98">
            <w:pPr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</w:t>
            </w:r>
            <w:r w:rsidR="00143B56" w:rsidRPr="00577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ми </w:t>
            </w:r>
            <w:r w:rsidRPr="00577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проектних </w:t>
            </w:r>
            <w:r w:rsidR="00143B56" w:rsidRPr="00577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 практичних робіт</w:t>
            </w:r>
          </w:p>
        </w:tc>
      </w:tr>
      <w:tr w:rsidR="00143B56" w:rsidRPr="00577F78" w:rsidTr="001E42DA">
        <w:tc>
          <w:tcPr>
            <w:tcW w:w="929" w:type="dxa"/>
            <w:vMerge w:val="restart"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6 клас</w:t>
            </w: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Води суходолу – поверхневі і підземні. Річка: річкова система, басейн річки, річкова долина. Найдовші, найбільші за площею басейни й </w:t>
            </w:r>
            <w:proofErr w:type="spellStart"/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найповноводніші</w:t>
            </w:r>
            <w:proofErr w:type="spellEnd"/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річки світу. Пороги і водоспади. Живлення, водний режим і робота річок.</w:t>
            </w:r>
          </w:p>
        </w:tc>
        <w:tc>
          <w:tcPr>
            <w:tcW w:w="5670" w:type="dxa"/>
            <w:vMerge w:val="restart"/>
          </w:tcPr>
          <w:p w:rsidR="00143B56" w:rsidRPr="00577F78" w:rsidRDefault="00143B56" w:rsidP="00CF3F98">
            <w:pPr>
              <w:pStyle w:val="a6"/>
              <w:widowControl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 1.</w:t>
            </w:r>
            <w:r w:rsidR="009609D6"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Значення вод суходолу для природи і людини.</w:t>
            </w:r>
          </w:p>
          <w:p w:rsidR="00143B56" w:rsidRPr="00577F78" w:rsidRDefault="00143B56" w:rsidP="00CF3F98">
            <w:pPr>
              <w:pStyle w:val="a6"/>
              <w:widowControl w:val="0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 2.</w:t>
            </w:r>
            <w:r w:rsidR="009609D6"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6C97" w:rsidRPr="00577F78">
              <w:rPr>
                <w:rFonts w:ascii="Times New Roman" w:hAnsi="Times New Roman" w:cs="Times New Roman"/>
                <w:sz w:val="28"/>
                <w:szCs w:val="28"/>
              </w:rPr>
              <w:t>Охорона в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од своєї місцевості</w:t>
            </w:r>
          </w:p>
          <w:p w:rsidR="00143B56" w:rsidRPr="00577F78" w:rsidRDefault="00143B56" w:rsidP="00CF3F98">
            <w:pPr>
              <w:pStyle w:val="a6"/>
              <w:widowControl w:val="0"/>
              <w:ind w:left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77F7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Практична робота 6.</w:t>
            </w:r>
            <w:r w:rsidR="009609D6" w:rsidRPr="00577F78">
              <w:rPr>
                <w:rFonts w:ascii="Times New Roman" w:eastAsia="Arial Unicode MS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577F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  <w:t>Позначення на контурній карті назв річок та озер</w:t>
            </w:r>
          </w:p>
        </w:tc>
      </w:tr>
      <w:tr w:rsidR="00143B56" w:rsidRPr="00577F78" w:rsidTr="001E42DA">
        <w:tc>
          <w:tcPr>
            <w:tcW w:w="929" w:type="dxa"/>
            <w:vMerge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Озера, їх різноманітність за площею, походженням озерних </w:t>
            </w:r>
            <w:proofErr w:type="spellStart"/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улоговин</w:t>
            </w:r>
            <w:proofErr w:type="spellEnd"/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, солоністю. Найбільші і найглибші озера земної кулі.</w:t>
            </w:r>
          </w:p>
        </w:tc>
        <w:tc>
          <w:tcPr>
            <w:tcW w:w="5670" w:type="dxa"/>
            <w:vMerge/>
          </w:tcPr>
          <w:p w:rsidR="00143B56" w:rsidRPr="00577F78" w:rsidRDefault="00143B56" w:rsidP="00CF3F9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43B56" w:rsidRPr="00577F78" w:rsidTr="001E42DA">
        <w:tc>
          <w:tcPr>
            <w:tcW w:w="929" w:type="dxa"/>
            <w:vMerge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Болота, особливості їх утворення та поширення. Штучні водойми і водотоки: ставки, водосховища, канали.</w:t>
            </w:r>
          </w:p>
        </w:tc>
        <w:tc>
          <w:tcPr>
            <w:tcW w:w="5670" w:type="dxa"/>
            <w:vMerge/>
          </w:tcPr>
          <w:p w:rsidR="00143B56" w:rsidRPr="00577F78" w:rsidRDefault="00143B56" w:rsidP="00CF3F9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143B56" w:rsidRPr="00577F78" w:rsidTr="001E42DA">
        <w:tc>
          <w:tcPr>
            <w:tcW w:w="929" w:type="dxa"/>
            <w:vMerge w:val="restart"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 клас</w:t>
            </w: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Географічне положення. Поділ Євразії на дві частини світу. Дослідження та освоєння материка.</w:t>
            </w:r>
          </w:p>
        </w:tc>
        <w:tc>
          <w:tcPr>
            <w:tcW w:w="5670" w:type="dxa"/>
            <w:vMerge w:val="restart"/>
          </w:tcPr>
          <w:p w:rsidR="00143B56" w:rsidRPr="00577F78" w:rsidRDefault="00143B56" w:rsidP="00CF3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10.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Позначення на контурній карті назв географічних об’єктів Євразії. </w:t>
            </w:r>
          </w:p>
          <w:p w:rsidR="00143B56" w:rsidRPr="00577F78" w:rsidRDefault="00143B56" w:rsidP="00CF3F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11.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Визначення типів клімату в межах помірного кліматичного поясу Євразії за допомогою кліматичних діаграм. </w:t>
            </w: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 4.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уявної подорожі уздовж 50-ї паралелі: складання карти маршруту з позначенням країн, природних об’єктів та природних комплексів.</w:t>
            </w:r>
          </w:p>
        </w:tc>
      </w:tr>
      <w:tr w:rsidR="00143B56" w:rsidRPr="00577F78" w:rsidTr="001E42DA">
        <w:trPr>
          <w:trHeight w:val="567"/>
        </w:trPr>
        <w:tc>
          <w:tcPr>
            <w:tcW w:w="929" w:type="dxa"/>
            <w:vMerge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Тектонічна будова. Рельєф, роль внутрішніх і </w:t>
            </w:r>
            <w:r w:rsidR="009609D6" w:rsidRPr="00577F78">
              <w:rPr>
                <w:rFonts w:ascii="Times New Roman" w:hAnsi="Times New Roman" w:cs="Times New Roman"/>
                <w:sz w:val="28"/>
                <w:szCs w:val="28"/>
              </w:rPr>
              <w:t>зовнішніх сил в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його формуванні. Корисні копалини</w:t>
            </w:r>
          </w:p>
        </w:tc>
        <w:tc>
          <w:tcPr>
            <w:tcW w:w="5670" w:type="dxa"/>
            <w:vMerge/>
          </w:tcPr>
          <w:p w:rsidR="00143B56" w:rsidRPr="00577F78" w:rsidRDefault="00143B56" w:rsidP="00CF3F9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</w:tr>
      <w:tr w:rsidR="00143B56" w:rsidRPr="00577F78" w:rsidTr="001E42DA">
        <w:trPr>
          <w:trHeight w:val="566"/>
        </w:trPr>
        <w:tc>
          <w:tcPr>
            <w:tcW w:w="929" w:type="dxa"/>
            <w:vMerge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Загальні риси клімату. Кліматичні пояси і типи клімату. Води суходолу.</w:t>
            </w:r>
          </w:p>
        </w:tc>
        <w:tc>
          <w:tcPr>
            <w:tcW w:w="5670" w:type="dxa"/>
            <w:vMerge/>
          </w:tcPr>
          <w:p w:rsidR="00143B56" w:rsidRPr="00577F78" w:rsidRDefault="00143B56" w:rsidP="00CF3F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43B56" w:rsidRPr="00577F78" w:rsidTr="001E42DA">
        <w:tc>
          <w:tcPr>
            <w:tcW w:w="929" w:type="dxa"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 клас</w:t>
            </w:r>
          </w:p>
        </w:tc>
        <w:tc>
          <w:tcPr>
            <w:tcW w:w="3432" w:type="dxa"/>
          </w:tcPr>
          <w:p w:rsidR="00143B56" w:rsidRPr="00577F78" w:rsidRDefault="00143B56" w:rsidP="00CF3F9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природно-ресурсного потенціалу України. Основні види забруднень довкілля в Україні. Вплив екологічної ситуації на життєдіяльність населення. Природно-заповідний фонд України. Національна екологічна мережа. Моніторинг навколишнього середовища. Природно-заповідні об’єкти своєї місцевості. </w:t>
            </w:r>
          </w:p>
        </w:tc>
        <w:tc>
          <w:tcPr>
            <w:tcW w:w="5670" w:type="dxa"/>
          </w:tcPr>
          <w:p w:rsidR="00143B56" w:rsidRPr="00577F78" w:rsidRDefault="00143B56" w:rsidP="00CF3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 8.</w:t>
            </w:r>
            <w:r w:rsidR="009609D6"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D66A6" w:rsidRPr="00577F78">
              <w:rPr>
                <w:rFonts w:ascii="Times New Roman" w:hAnsi="Times New Roman" w:cs="Times New Roman"/>
                <w:i/>
                <w:sz w:val="28"/>
                <w:szCs w:val="28"/>
              </w:rPr>
              <w:t>(за вибором)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Вплив компонентів природи на здоров’я людини. Зміни природи своєї місцевості під впливом діяльності людини. </w:t>
            </w:r>
          </w:p>
          <w:p w:rsidR="00143B56" w:rsidRPr="00577F78" w:rsidRDefault="00143B56" w:rsidP="00CF3F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Практична робота 10.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Позначення на контурній карті об’єктів природно-заповід</w:t>
            </w:r>
            <w:r w:rsidR="009609D6"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ного фонду 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України.</w:t>
            </w:r>
          </w:p>
        </w:tc>
      </w:tr>
      <w:tr w:rsidR="00143B56" w:rsidRPr="00577F78" w:rsidTr="001E42DA">
        <w:tc>
          <w:tcPr>
            <w:tcW w:w="929" w:type="dxa"/>
            <w:vMerge w:val="restart"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9 клас</w:t>
            </w:r>
          </w:p>
        </w:tc>
        <w:tc>
          <w:tcPr>
            <w:tcW w:w="3432" w:type="dxa"/>
          </w:tcPr>
          <w:p w:rsidR="00BB40B0" w:rsidRPr="00577F78" w:rsidRDefault="00143B56" w:rsidP="00CF3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>Виробництво харчових продуктів, напоїв</w:t>
            </w:r>
            <w:r w:rsidR="009609D6" w:rsidRPr="00577F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Чинники розміщення підприємств, що виробляють харчові продукти. Харчова промисловість в Україні. Виробництво харчових продуктів у своєму регіоні.</w:t>
            </w:r>
          </w:p>
        </w:tc>
        <w:tc>
          <w:tcPr>
            <w:tcW w:w="5670" w:type="dxa"/>
          </w:tcPr>
          <w:p w:rsidR="00143B56" w:rsidRPr="00577F78" w:rsidRDefault="00143B56" w:rsidP="00CF3F98">
            <w:pPr>
              <w:tabs>
                <w:tab w:val="left" w:pos="2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 1.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Українські та імпортні продукти в споживчому кошику вашої родини. </w:t>
            </w:r>
          </w:p>
          <w:p w:rsidR="00143B56" w:rsidRPr="00577F78" w:rsidRDefault="00143B56" w:rsidP="00CF3F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</w:t>
            </w:r>
            <w:r w:rsidR="009609D6"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Традиційні продукти харчування в Україні та країнах сусідах.</w:t>
            </w:r>
          </w:p>
          <w:p w:rsidR="00143B56" w:rsidRPr="00577F78" w:rsidRDefault="00143B56" w:rsidP="00CF3F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Дослідження</w:t>
            </w:r>
            <w:r w:rsidR="009609D6"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 Виробництво харчових продуктів у своєму регіоні.</w:t>
            </w:r>
          </w:p>
        </w:tc>
      </w:tr>
      <w:tr w:rsidR="00143B56" w:rsidRPr="00577F78" w:rsidTr="001E42DA">
        <w:tc>
          <w:tcPr>
            <w:tcW w:w="929" w:type="dxa"/>
            <w:vMerge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hAnsi="Times New Roman" w:cs="Times New Roman"/>
                <w:sz w:val="28"/>
                <w:szCs w:val="28"/>
              </w:rPr>
              <w:t xml:space="preserve">Виробництво продуктів харчування в світі: сучасні </w:t>
            </w:r>
            <w:r w:rsidRPr="00577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тенденції, вплив глобалізації та національних традицій, взаємозв’язок з агробізнесом. Традиційні виробництва харчових продуктів окремих країн світу.</w:t>
            </w:r>
          </w:p>
        </w:tc>
        <w:tc>
          <w:tcPr>
            <w:tcW w:w="5670" w:type="dxa"/>
          </w:tcPr>
          <w:p w:rsidR="00143B56" w:rsidRPr="00577F78" w:rsidRDefault="00143B56" w:rsidP="00CF3F98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</w:pPr>
            <w:r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Дослідження</w:t>
            </w:r>
            <w:r w:rsidR="009609D6" w:rsidRPr="00577F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7F7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uk-UA"/>
              </w:rPr>
              <w:t>1.</w:t>
            </w:r>
            <w:r w:rsidRPr="00577F78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 xml:space="preserve"> Роль ТНК у харчовій промисловості світу.</w:t>
            </w:r>
          </w:p>
        </w:tc>
      </w:tr>
      <w:tr w:rsidR="00143B56" w:rsidRPr="00577F78" w:rsidTr="001E42DA">
        <w:tc>
          <w:tcPr>
            <w:tcW w:w="929" w:type="dxa"/>
            <w:vMerge w:val="restart"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 клас</w:t>
            </w: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Особливості економіки країн Америки. Роль американських ТНК в економіці регіону. Первинний сектор економіки. Сільське господарство: вплив природних, історичних чинників та глобалізації на спеціалізацію. Лісове господарство. Вторинний сектор економіки. Основні осередки промисловості в регіоні.</w:t>
            </w:r>
          </w:p>
        </w:tc>
        <w:tc>
          <w:tcPr>
            <w:tcW w:w="5670" w:type="dxa"/>
          </w:tcPr>
          <w:p w:rsidR="00143B56" w:rsidRPr="00577F78" w:rsidRDefault="00143B56" w:rsidP="00CF3F9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Практична робота</w:t>
            </w:r>
          </w:p>
          <w:p w:rsidR="00143B56" w:rsidRPr="00577F78" w:rsidRDefault="00143B56" w:rsidP="00CF3F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20"/>
                <w:sz w:val="28"/>
                <w:szCs w:val="28"/>
                <w:lang w:eastAsia="ru-RU"/>
              </w:rPr>
              <w:t>5</w:t>
            </w:r>
            <w:r w:rsidRPr="00577F78">
              <w:rPr>
                <w:rFonts w:ascii="Times New Roman" w:eastAsia="Times New Roman" w:hAnsi="Times New Roman" w:cs="Times New Roman"/>
                <w:color w:val="000000"/>
                <w:spacing w:val="-2"/>
                <w:kern w:val="20"/>
                <w:sz w:val="28"/>
                <w:szCs w:val="28"/>
                <w:lang w:eastAsia="ru-RU"/>
              </w:rPr>
              <w:t xml:space="preserve">. </w:t>
            </w:r>
            <w:r w:rsidRPr="00577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Складання картосхеми типології країн Америки за рівнем їх економічного розвитку</w:t>
            </w:r>
            <w:r w:rsidRPr="00577F78">
              <w:rPr>
                <w:rFonts w:ascii="Times New Roman" w:eastAsia="Times New Roman" w:hAnsi="Times New Roman" w:cs="Times New Roman"/>
                <w:spacing w:val="-2"/>
                <w:kern w:val="20"/>
                <w:sz w:val="28"/>
                <w:szCs w:val="28"/>
                <w:lang w:eastAsia="ru-RU"/>
              </w:rPr>
              <w:t>.</w:t>
            </w:r>
          </w:p>
          <w:p w:rsidR="00143B56" w:rsidRPr="00577F78" w:rsidRDefault="00143B56" w:rsidP="00CF3F9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43B56" w:rsidRPr="00577F78" w:rsidRDefault="00143B56" w:rsidP="00CF3F9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Орієнтовні теми для досліджень </w:t>
            </w:r>
            <w:r w:rsidRPr="00577F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 w:rsidR="003D66A6" w:rsidRPr="00577F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за вибором</w:t>
            </w:r>
            <w:r w:rsidR="00F22445" w:rsidRPr="00577F7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143B56" w:rsidRPr="00577F78" w:rsidRDefault="00143B56" w:rsidP="00CF3F9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577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«Бананові республіки»: типові ознаки та сучасний розвиток.</w:t>
            </w:r>
          </w:p>
          <w:p w:rsidR="00143B56" w:rsidRPr="00577F78" w:rsidRDefault="00143B56" w:rsidP="00CF3F9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  <w:r w:rsidRPr="00577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Панамериканське шосе – дорога через три Америки.</w:t>
            </w:r>
          </w:p>
        </w:tc>
      </w:tr>
      <w:tr w:rsidR="00143B56" w:rsidRPr="00577F78" w:rsidTr="001E42DA">
        <w:tc>
          <w:tcPr>
            <w:tcW w:w="929" w:type="dxa"/>
            <w:vMerge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Третинний сектор економіки. Найважливіші міжнародні транспортні магістралі, вузли. Нерівномірність економічного розвитку  </w:t>
            </w:r>
            <w:proofErr w:type="spellStart"/>
            <w:r w:rsidRPr="00577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субрегіонів</w:t>
            </w:r>
            <w:proofErr w:type="spellEnd"/>
            <w:r w:rsidRPr="00577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Америки. Особливості їх участі в міжнародному поділі праці. Зв’язки України з країнами Америки.</w:t>
            </w:r>
          </w:p>
        </w:tc>
        <w:tc>
          <w:tcPr>
            <w:tcW w:w="5670" w:type="dxa"/>
          </w:tcPr>
          <w:p w:rsidR="00143B56" w:rsidRPr="00577F78" w:rsidRDefault="00143B56" w:rsidP="00CF3F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  <w:r w:rsidRPr="00577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Туризм як чинник розвитку країн Карибського басейну.</w:t>
            </w:r>
          </w:p>
        </w:tc>
      </w:tr>
      <w:tr w:rsidR="00143B56" w:rsidRPr="00577F78" w:rsidTr="001E42DA">
        <w:tc>
          <w:tcPr>
            <w:tcW w:w="929" w:type="dxa"/>
            <w:vMerge w:val="restart"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77F7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11 клас</w:t>
            </w: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>Сучасна географія виробництва транспортних засобів, електрон</w:t>
            </w:r>
            <w:r w:rsidR="00D60305"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іки, фармацевтичної продукції, </w:t>
            </w: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чинники участі національних економік у глобальних ланцюгах </w:t>
            </w:r>
            <w:r w:rsidR="00D60305"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доданої вартості. </w:t>
            </w:r>
          </w:p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Виробництво текстилю, одягу, взуття: сучасна просторова організація, </w:t>
            </w: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чинники міжнародної спеціалізації.  </w:t>
            </w:r>
          </w:p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Сучасні транспортно-логістичні системи та інформаційн</w:t>
            </w:r>
            <w:r w:rsidR="00F22445"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о-комунікаційні мережі як інфраструктурний каркас глобальної </w:t>
            </w: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економіки.</w:t>
            </w:r>
          </w:p>
          <w:p w:rsidR="00143B56" w:rsidRPr="00577F78" w:rsidRDefault="00143B56" w:rsidP="00CF3F98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Світовий ринок інвестицій і фінансів. Туризм.</w:t>
            </w:r>
          </w:p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Формування  «інформаційного суспільства».</w:t>
            </w:r>
          </w:p>
        </w:tc>
        <w:tc>
          <w:tcPr>
            <w:tcW w:w="5670" w:type="dxa"/>
          </w:tcPr>
          <w:p w:rsidR="00143B56" w:rsidRPr="00577F78" w:rsidRDefault="00143B56" w:rsidP="00CF3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77F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lastRenderedPageBreak/>
              <w:t>Практична робота</w:t>
            </w:r>
          </w:p>
          <w:p w:rsidR="00143B56" w:rsidRPr="00577F78" w:rsidRDefault="00143B56" w:rsidP="00CF3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577F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 Позначення на контурній карті (знаками руху)  глобальних ланцюгів доданої вартості </w:t>
            </w:r>
            <w:r w:rsidRPr="00577F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«видобування алюмінієвої сировини – виробництво глинозему – виробництво первинного алюмінію – споживання алюмінію»</w:t>
            </w:r>
            <w:r w:rsidRPr="00577F78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.</w:t>
            </w:r>
          </w:p>
          <w:p w:rsidR="00143B56" w:rsidRPr="00577F78" w:rsidRDefault="00143B56" w:rsidP="00CF3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C97" w:rsidRPr="00577F78" w:rsidRDefault="00236C97" w:rsidP="00CF3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236C97" w:rsidRPr="00577F78" w:rsidRDefault="00236C97" w:rsidP="00CF3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143B56" w:rsidRPr="00577F78" w:rsidRDefault="00143B56" w:rsidP="00CF3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ind w:right="2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77F7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Дослідження</w:t>
            </w:r>
          </w:p>
          <w:p w:rsidR="00143B56" w:rsidRPr="00577F78" w:rsidRDefault="00143B56" w:rsidP="00CF3F9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1. Світовий ринок патентів: лідери й </w:t>
            </w: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аутсайдери.</w:t>
            </w:r>
          </w:p>
          <w:p w:rsidR="00143B56" w:rsidRPr="00577F78" w:rsidRDefault="00D60305" w:rsidP="00CF3F9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143B56"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Роль транснаціональних компаній у розвитку машинобудівних та хімічних виробництв в Україні  </w:t>
            </w:r>
          </w:p>
        </w:tc>
      </w:tr>
      <w:tr w:rsidR="00143B56" w:rsidRPr="00577F78" w:rsidTr="001E42DA">
        <w:tc>
          <w:tcPr>
            <w:tcW w:w="929" w:type="dxa"/>
            <w:vMerge/>
            <w:vAlign w:val="center"/>
          </w:tcPr>
          <w:p w:rsidR="00143B56" w:rsidRPr="00577F78" w:rsidRDefault="00143B56" w:rsidP="00CF3F98">
            <w:pPr>
              <w:ind w:left="-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432" w:type="dxa"/>
          </w:tcPr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77F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Географічні складники політичної географії: географічний простір, території, географічні місця. Політичні складники: політичні інституції, політичні відносини, «сила». Територіально-політичні системи національного і наддержавного рівнів.   </w:t>
            </w:r>
          </w:p>
          <w:p w:rsidR="00143B56" w:rsidRPr="00577F78" w:rsidRDefault="00143B56" w:rsidP="00CF3F98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670" w:type="dxa"/>
          </w:tcPr>
          <w:p w:rsidR="00143B56" w:rsidRPr="00577F78" w:rsidRDefault="00143B56" w:rsidP="00CF3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143B56" w:rsidRPr="00577F78" w:rsidRDefault="00143B56" w:rsidP="00143B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3B56" w:rsidRPr="00577F78" w:rsidRDefault="00143B56" w:rsidP="005337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Перед виконанням </w:t>
      </w:r>
      <w:proofErr w:type="spellStart"/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проєкту</w:t>
      </w:r>
      <w:proofErr w:type="spellEnd"/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F22445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варто</w:t>
      </w: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запропон</w:t>
      </w:r>
      <w:r w:rsidR="00F22445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увати</w:t>
      </w: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спільного обговорення критерії його оцінювання </w:t>
      </w:r>
      <w:r w:rsidR="003D66A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(при розробленні критеріїв мають у</w:t>
      </w: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раховуватися вікові особливості учнів). </w:t>
      </w:r>
    </w:p>
    <w:p w:rsidR="00F22445" w:rsidRPr="00577F78" w:rsidRDefault="00305173" w:rsidP="005337D1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ab/>
      </w:r>
      <w:r w:rsidRPr="00577F78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ab/>
      </w:r>
      <w:r w:rsidR="00BF63AF" w:rsidRPr="00577F78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>О</w:t>
      </w:r>
      <w:r w:rsidR="00F22445" w:rsidRPr="00577F78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>рганізації дистанційного навчання</w:t>
      </w:r>
      <w:r w:rsidR="00F22445" w:rsidRPr="00577F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 є </w:t>
      </w:r>
      <w:r w:rsidR="00BF63AF" w:rsidRPr="00577F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 xml:space="preserve">можливою шляхом </w:t>
      </w:r>
      <w:r w:rsidR="00F22445" w:rsidRPr="00577F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використання</w:t>
      </w:r>
      <w:r w:rsidR="00F22445" w:rsidRPr="00577F78">
        <w:rPr>
          <w:rStyle w:val="a4"/>
          <w:rFonts w:ascii="Times New Roman" w:hAnsi="Times New Roman" w:cs="Times New Roman"/>
          <w:bCs/>
          <w:sz w:val="28"/>
          <w:szCs w:val="28"/>
          <w:lang w:val="uk-UA"/>
        </w:rPr>
        <w:t xml:space="preserve"> асинхронного навчання, </w:t>
      </w:r>
      <w:r w:rsidR="00F22445" w:rsidRPr="00577F78">
        <w:rPr>
          <w:rStyle w:val="a4"/>
          <w:rFonts w:ascii="Times New Roman" w:hAnsi="Times New Roman" w:cs="Times New Roman"/>
          <w:bCs/>
          <w:i w:val="0"/>
          <w:sz w:val="28"/>
          <w:szCs w:val="28"/>
          <w:lang w:val="uk-UA"/>
        </w:rPr>
        <w:t>за якого</w:t>
      </w:r>
      <w:r w:rsidR="00F22445" w:rsidRPr="00577F78"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="00F22445" w:rsidRPr="00577F78">
        <w:rPr>
          <w:rFonts w:ascii="Times New Roman" w:hAnsi="Times New Roman" w:cs="Times New Roman"/>
          <w:sz w:val="28"/>
          <w:szCs w:val="28"/>
          <w:lang w:val="uk-UA"/>
        </w:rPr>
        <w:t>учасники освітнього процесу не спілкуються в режимі реального часу, а обговорюють окремі етапи роботи через інтернет-ресурси та інші засоби дистанційної комунікації, зокрема:</w:t>
      </w:r>
    </w:p>
    <w:p w:rsidR="00F22445" w:rsidRPr="00577F78" w:rsidRDefault="00305173" w:rsidP="0053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22445" w:rsidRPr="00577F7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2445" w:rsidRPr="00577F78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>E-</w:t>
      </w:r>
      <w:proofErr w:type="spellStart"/>
      <w:r w:rsidR="00F22445" w:rsidRPr="00577F78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>mail</w:t>
      </w:r>
      <w:proofErr w:type="spellEnd"/>
      <w:r w:rsidR="00F22445" w:rsidRPr="00577F78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 дистанційне навчання, </w:t>
      </w:r>
      <w:r w:rsidR="00F22445" w:rsidRPr="00577F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що</w:t>
      </w:r>
      <w:r w:rsidR="00F22445" w:rsidRPr="00577F78">
        <w:rPr>
          <w:rStyle w:val="a3"/>
          <w:rFonts w:ascii="Times New Roman" w:hAnsi="Times New Roman" w:cs="Times New Roman"/>
          <w:sz w:val="28"/>
          <w:szCs w:val="28"/>
          <w:lang w:val="uk-UA"/>
        </w:rPr>
        <w:t> </w:t>
      </w:r>
      <w:r w:rsidR="00F22445" w:rsidRPr="00577F78">
        <w:rPr>
          <w:rFonts w:ascii="Times New Roman" w:hAnsi="Times New Roman" w:cs="Times New Roman"/>
          <w:sz w:val="28"/>
          <w:szCs w:val="28"/>
          <w:lang w:val="uk-UA"/>
        </w:rPr>
        <w:t>здійснюється через листування в</w:t>
      </w:r>
      <w:r w:rsidR="00BF63AF" w:rsidRPr="00577F78">
        <w:rPr>
          <w:rFonts w:ascii="Times New Roman" w:hAnsi="Times New Roman" w:cs="Times New Roman"/>
          <w:sz w:val="28"/>
          <w:szCs w:val="28"/>
          <w:lang w:val="uk-UA"/>
        </w:rPr>
        <w:t>чителя і учнів через мережу І</w:t>
      </w:r>
      <w:r w:rsidR="00F22445" w:rsidRPr="00577F78">
        <w:rPr>
          <w:rFonts w:ascii="Times New Roman" w:hAnsi="Times New Roman" w:cs="Times New Roman"/>
          <w:sz w:val="28"/>
          <w:szCs w:val="28"/>
          <w:lang w:val="uk-UA"/>
        </w:rPr>
        <w:t>нтернет.</w:t>
      </w:r>
    </w:p>
    <w:p w:rsidR="00F22445" w:rsidRPr="00577F78" w:rsidRDefault="00F22445" w:rsidP="0053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>Класичний варіант E-</w:t>
      </w:r>
      <w:proofErr w:type="spellStart"/>
      <w:r w:rsidRPr="00577F78">
        <w:rPr>
          <w:rFonts w:ascii="Times New Roman" w:hAnsi="Times New Roman" w:cs="Times New Roman"/>
          <w:sz w:val="28"/>
          <w:szCs w:val="28"/>
          <w:lang w:val="uk-UA"/>
        </w:rPr>
        <w:t>mail</w:t>
      </w:r>
      <w:proofErr w:type="spellEnd"/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передбачає отримання учнем щоденних в один і той же час поштових повідомлень, що містять невелику кількість текстового матеріалу та перевірочні питання до нього. До листа також можуть входити активні посилання на додаткові матеріали (статті з періодичних видань, оригінальні тексти, презентації, відео фрагменти), що їх можна переглянути в мережі Інтернет. Для спрощення доставки матеріалів до учнів можна надсилати </w:t>
      </w:r>
      <w:r w:rsidR="00BB40B0" w:rsidRPr="00577F78">
        <w:rPr>
          <w:rFonts w:ascii="Times New Roman" w:hAnsi="Times New Roman" w:cs="Times New Roman"/>
          <w:sz w:val="28"/>
          <w:szCs w:val="28"/>
          <w:lang w:val="uk-UA"/>
        </w:rPr>
        <w:t>їх у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>сім уч</w:t>
      </w:r>
      <w:r w:rsidR="00BB40B0" w:rsidRPr="00577F78">
        <w:rPr>
          <w:rFonts w:ascii="Times New Roman" w:hAnsi="Times New Roman" w:cs="Times New Roman"/>
          <w:sz w:val="28"/>
          <w:szCs w:val="28"/>
          <w:lang w:val="uk-UA"/>
        </w:rPr>
        <w:t>асникам навчання одним листом, у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казавши їхні електронні адреси через крапку з комою в рядку адресування. За наслідками завершення періоду 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дистанційного навчання учню надаються перевірочні завдання, що складено з питань, які надавалися під час вивчення окремих </w:t>
      </w:r>
      <w:r w:rsidR="00BF63AF" w:rsidRPr="00577F78">
        <w:rPr>
          <w:rFonts w:ascii="Times New Roman" w:hAnsi="Times New Roman" w:cs="Times New Roman"/>
          <w:sz w:val="28"/>
          <w:szCs w:val="28"/>
          <w:lang w:val="uk-UA"/>
        </w:rPr>
        <w:t>тем навчального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матеріалу.</w:t>
      </w:r>
    </w:p>
    <w:p w:rsidR="00F22445" w:rsidRPr="00577F78" w:rsidRDefault="00F22445" w:rsidP="0053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F63AF" w:rsidRPr="00577F78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>Н</w:t>
      </w:r>
      <w:r w:rsidRPr="00577F78">
        <w:rPr>
          <w:rStyle w:val="a3"/>
          <w:rFonts w:ascii="Times New Roman" w:hAnsi="Times New Roman" w:cs="Times New Roman"/>
          <w:b w:val="0"/>
          <w:i/>
          <w:sz w:val="28"/>
          <w:szCs w:val="28"/>
          <w:lang w:val="uk-UA"/>
        </w:rPr>
        <w:t xml:space="preserve">авчання на платформах соціальних мереж, </w:t>
      </w:r>
      <w:r w:rsidRPr="00577F78">
        <w:rPr>
          <w:rStyle w:val="a3"/>
          <w:rFonts w:ascii="Times New Roman" w:hAnsi="Times New Roman" w:cs="Times New Roman"/>
          <w:b w:val="0"/>
          <w:sz w:val="28"/>
          <w:szCs w:val="28"/>
          <w:lang w:val="uk-UA"/>
        </w:rPr>
        <w:t>за яким в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обраній соціальній мережі створюється окрема група (коло, спільнота), де вчитель може розмістити навчальний матеріал. Це можуть бути як його власні матеріали, так і матеріали інших авторів з теми, що розміщено</w:t>
      </w:r>
      <w:r w:rsidR="00BF63AF"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в І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нтернеті чи в тій же соціальній мережі. Учням пропонується опрацювати матеріал та виконати рекомендоване вчителем завдання. При цьому краще використовувати завдання, що потрібно обговорювати, хоча, допускаються і розрахункові завдання. </w:t>
      </w:r>
    </w:p>
    <w:p w:rsidR="00F22445" w:rsidRPr="00577F78" w:rsidRDefault="00F22445" w:rsidP="0053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При такій формі асинхронного спілкування матеріали і відповіді </w:t>
      </w:r>
      <w:r w:rsidR="00BF63AF"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proofErr w:type="spellStart"/>
      <w:r w:rsidRPr="00577F78">
        <w:rPr>
          <w:rFonts w:ascii="Times New Roman" w:hAnsi="Times New Roman" w:cs="Times New Roman"/>
          <w:sz w:val="28"/>
          <w:szCs w:val="28"/>
          <w:lang w:val="uk-UA"/>
        </w:rPr>
        <w:t>доступні</w:t>
      </w:r>
      <w:r w:rsidR="00BF63AF" w:rsidRPr="00577F78">
        <w:rPr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 w:rsidR="00BF63AF"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всім учасникам </w:t>
      </w:r>
      <w:r w:rsidR="00BF63AF" w:rsidRPr="00577F78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63AF" w:rsidRPr="00577F78">
        <w:rPr>
          <w:rFonts w:ascii="Times New Roman" w:hAnsi="Times New Roman" w:cs="Times New Roman"/>
          <w:sz w:val="28"/>
          <w:szCs w:val="28"/>
          <w:lang w:val="uk-UA"/>
        </w:rPr>
        <w:t>процесу, але, за необхідності, у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>читель може звернутися до учня через панель швидких сповіщень (чат).</w:t>
      </w:r>
    </w:p>
    <w:p w:rsidR="00F22445" w:rsidRPr="00577F78" w:rsidRDefault="00F22445" w:rsidP="0053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>Слід зазначити, що характер створеної спільноти має бути таким, щоб учитель мав можливість керувати сторінкою і вилучати невдалі матеріали і коментарі, що розміщують на ній учні. Також для зручності можна обрати формат спільноти з обмеженим доступом (тільки для учасників спільноти).</w:t>
      </w:r>
    </w:p>
    <w:p w:rsidR="00F22445" w:rsidRPr="00577F78" w:rsidRDefault="00F22445" w:rsidP="0053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Можливим є використання </w:t>
      </w:r>
      <w:r w:rsidRPr="00577F78">
        <w:rPr>
          <w:rStyle w:val="a4"/>
          <w:rFonts w:ascii="Times New Roman" w:hAnsi="Times New Roman" w:cs="Times New Roman"/>
          <w:bCs/>
          <w:sz w:val="28"/>
          <w:szCs w:val="28"/>
          <w:lang w:val="uk-UA"/>
        </w:rPr>
        <w:t xml:space="preserve">синхронного дистанційного навчання, </w:t>
      </w:r>
      <w:r w:rsidRPr="00577F78">
        <w:rPr>
          <w:rStyle w:val="a4"/>
          <w:rFonts w:ascii="Times New Roman" w:hAnsi="Times New Roman" w:cs="Times New Roman"/>
          <w:bCs/>
          <w:i w:val="0"/>
          <w:sz w:val="28"/>
          <w:szCs w:val="28"/>
          <w:lang w:val="uk-UA"/>
        </w:rPr>
        <w:t>що передбачає</w:t>
      </w:r>
      <w:r w:rsidRPr="00577F7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>від учасників навчального процесу одночасної присутності у віртуальному середовищі хмарного сервісу або програми.</w:t>
      </w:r>
    </w:p>
    <w:p w:rsidR="00F22445" w:rsidRPr="00577F78" w:rsidRDefault="00F22445" w:rsidP="00533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Така форма навчання здійснюється через різноманітні сервіси для </w:t>
      </w:r>
      <w:proofErr w:type="spellStart"/>
      <w:r w:rsidRPr="00577F78">
        <w:rPr>
          <w:rFonts w:ascii="Times New Roman" w:hAnsi="Times New Roman" w:cs="Times New Roman"/>
          <w:sz w:val="28"/>
          <w:szCs w:val="28"/>
          <w:lang w:val="uk-UA"/>
        </w:rPr>
        <w:t>online</w:t>
      </w:r>
      <w:proofErr w:type="spellEnd"/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спілкування (Skype, </w:t>
      </w:r>
      <w:proofErr w:type="spellStart"/>
      <w:r w:rsidRPr="00577F78">
        <w:rPr>
          <w:rFonts w:ascii="Times New Roman" w:hAnsi="Times New Roman" w:cs="Times New Roman"/>
          <w:sz w:val="28"/>
          <w:szCs w:val="28"/>
          <w:lang w:val="uk-UA"/>
        </w:rPr>
        <w:t>GoogleTalk</w:t>
      </w:r>
      <w:proofErr w:type="spellEnd"/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, спільні документи). Проте організація такої форми роботи може бути досить складною при великій кількості учасників освітнього процесу (безкоштовні сервіси для спілкування підтримують невелику кількість учасників, не всі учасники можуть своєчасно </w:t>
      </w:r>
      <w:proofErr w:type="spellStart"/>
      <w:r w:rsidRPr="00577F78">
        <w:rPr>
          <w:rFonts w:ascii="Times New Roman" w:hAnsi="Times New Roman" w:cs="Times New Roman"/>
          <w:sz w:val="28"/>
          <w:szCs w:val="28"/>
          <w:lang w:val="uk-UA"/>
        </w:rPr>
        <w:t>під’єднатися</w:t>
      </w:r>
      <w:proofErr w:type="spellEnd"/>
      <w:r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через технічні труднощі чи швидкість інтернет-зв’язку тощо). Тому цю форму доцільніше використовувати </w:t>
      </w:r>
      <w:r w:rsidR="00BF63AF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>для проведення навчальних занять та надання окремих консультацій</w:t>
      </w:r>
      <w:r w:rsidR="00BF63AF" w:rsidRPr="00577F78">
        <w:rPr>
          <w:rFonts w:ascii="Times New Roman" w:hAnsi="Times New Roman" w:cs="Times New Roman"/>
          <w:sz w:val="28"/>
          <w:szCs w:val="28"/>
          <w:lang w:val="uk-UA"/>
        </w:rPr>
        <w:t xml:space="preserve"> за умови, якщо </w:t>
      </w:r>
      <w:r w:rsidR="00BF63AF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класі невелика кількість учнів та існує можливість спілкування в реальному часі, або </w:t>
      </w:r>
      <w:r w:rsidRPr="00577F78">
        <w:rPr>
          <w:rFonts w:ascii="Times New Roman" w:hAnsi="Times New Roman" w:cs="Times New Roman"/>
          <w:sz w:val="28"/>
          <w:szCs w:val="28"/>
          <w:lang w:val="uk-UA"/>
        </w:rPr>
        <w:t>як додатковий елемент іншої форми асинхронного дистанційного навчання. Наприклад, учні поділяються на групи, кожній з яких надається завдання скласти спільний навчальний матеріал, розташований на сервісі спільних документів. Тоді учасники групи самі зв’язуються між собою для виконання завдання, а результати його виконання вчитель може спостерігати в обраному хмарному середовищі або отримати його від учнів електронною поштою.</w:t>
      </w:r>
    </w:p>
    <w:p w:rsidR="00305173" w:rsidRPr="00577F78" w:rsidRDefault="00305173" w:rsidP="005337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bCs/>
          <w:sz w:val="28"/>
          <w:szCs w:val="28"/>
          <w:lang w:val="uk-UA"/>
        </w:rPr>
        <w:t>При організації дистанційного навчання мають враховуватися матеріально-технічні можливості, зокрема:</w:t>
      </w:r>
    </w:p>
    <w:p w:rsidR="00305173" w:rsidRPr="00577F78" w:rsidRDefault="00305173" w:rsidP="005337D1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>сайт навчальног</w:t>
      </w:r>
      <w:bookmarkStart w:id="0" w:name="_GoBack"/>
      <w:bookmarkEnd w:id="0"/>
      <w:r w:rsidRPr="00577F78">
        <w:rPr>
          <w:rFonts w:ascii="Times New Roman" w:hAnsi="Times New Roman" w:cs="Times New Roman"/>
          <w:sz w:val="28"/>
          <w:szCs w:val="28"/>
          <w:lang w:val="uk-UA"/>
        </w:rPr>
        <w:t>о закладу;</w:t>
      </w:r>
    </w:p>
    <w:p w:rsidR="00305173" w:rsidRPr="00577F78" w:rsidRDefault="00305173" w:rsidP="005337D1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>використання електронної  пошти, соціальних мереж;</w:t>
      </w:r>
    </w:p>
    <w:p w:rsidR="00305173" w:rsidRPr="00577F78" w:rsidRDefault="00305173" w:rsidP="005337D1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7F78">
        <w:rPr>
          <w:rFonts w:ascii="Times New Roman" w:hAnsi="Times New Roman" w:cs="Times New Roman"/>
          <w:sz w:val="28"/>
          <w:szCs w:val="28"/>
          <w:lang w:val="uk-UA"/>
        </w:rPr>
        <w:t>блог педагога тощо.</w:t>
      </w:r>
    </w:p>
    <w:p w:rsidR="00BF63AF" w:rsidRPr="00577F78" w:rsidRDefault="00305173" w:rsidP="005337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BF63AF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ході організації дистанційного навчання з географії пропонуємо скористатися  </w:t>
      </w:r>
      <w:r w:rsidR="00BF63AF" w:rsidRPr="00577F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сайтами:</w:t>
      </w:r>
    </w:p>
    <w:p w:rsidR="00BF63AF" w:rsidRPr="00577F78" w:rsidRDefault="00577F78" w:rsidP="005337D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hyperlink r:id="rId5" w:history="1">
        <w:r w:rsidR="00BF63AF" w:rsidRPr="00577F78">
          <w:rPr>
            <w:rFonts w:ascii="Times New Roman" w:eastAsia="Calibri" w:hAnsi="Times New Roman" w:cs="Times New Roman"/>
            <w:color w:val="1F4E79"/>
            <w:sz w:val="28"/>
            <w:szCs w:val="28"/>
            <w:u w:val="single"/>
            <w:lang w:val="uk-UA"/>
          </w:rPr>
          <w:t>www.geograf.com.ua</w:t>
        </w:r>
      </w:hyperlink>
      <w:r w:rsidR="00BF63AF" w:rsidRPr="00577F78">
        <w:rPr>
          <w:rFonts w:ascii="Times New Roman" w:eastAsia="Calibri" w:hAnsi="Times New Roman" w:cs="Times New Roman"/>
          <w:color w:val="1F4E79"/>
          <w:sz w:val="28"/>
          <w:szCs w:val="28"/>
          <w:u w:val="single"/>
          <w:lang w:val="uk-UA"/>
        </w:rPr>
        <w:t>;</w:t>
      </w:r>
    </w:p>
    <w:p w:rsidR="00BF63AF" w:rsidRPr="00577F78" w:rsidRDefault="00577F78" w:rsidP="005337D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6" w:history="1">
        <w:r w:rsidR="00BF63AF" w:rsidRPr="00577F78">
          <w:rPr>
            <w:rFonts w:ascii="Times New Roman" w:eastAsia="Calibri" w:hAnsi="Times New Roman" w:cs="Times New Roman"/>
            <w:color w:val="1F4E79"/>
            <w:sz w:val="28"/>
            <w:szCs w:val="28"/>
            <w:u w:val="single"/>
            <w:lang w:val="uk-UA"/>
          </w:rPr>
          <w:t>www.classtime.com</w:t>
        </w:r>
      </w:hyperlink>
      <w:r w:rsidR="00BF63AF" w:rsidRPr="00577F78">
        <w:rPr>
          <w:rFonts w:ascii="Times New Roman" w:eastAsia="Calibri" w:hAnsi="Times New Roman" w:cs="Times New Roman"/>
          <w:color w:val="1F4E79"/>
          <w:sz w:val="28"/>
          <w:szCs w:val="28"/>
          <w:lang w:val="uk-UA"/>
        </w:rPr>
        <w:t>;</w:t>
      </w:r>
    </w:p>
    <w:p w:rsidR="00BF63AF" w:rsidRPr="00577F78" w:rsidRDefault="00577F78" w:rsidP="005337D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hyperlink r:id="rId7" w:history="1">
        <w:r w:rsidR="00BF63AF" w:rsidRPr="00577F78">
          <w:rPr>
            <w:rFonts w:ascii="Times New Roman" w:eastAsia="Calibri" w:hAnsi="Times New Roman" w:cs="Times New Roman"/>
            <w:color w:val="1F4E79"/>
            <w:sz w:val="28"/>
            <w:szCs w:val="28"/>
            <w:u w:val="single"/>
            <w:lang w:val="uk-UA"/>
          </w:rPr>
          <w:t>www.LearningApps.org</w:t>
        </w:r>
      </w:hyperlink>
      <w:r w:rsidR="00BF63AF" w:rsidRPr="00577F78">
        <w:rPr>
          <w:rFonts w:ascii="Times New Roman" w:eastAsia="Calibri" w:hAnsi="Times New Roman" w:cs="Times New Roman"/>
          <w:color w:val="1F4E79"/>
          <w:sz w:val="28"/>
          <w:szCs w:val="28"/>
          <w:u w:val="single"/>
          <w:lang w:val="uk-UA"/>
        </w:rPr>
        <w:t xml:space="preserve">; </w:t>
      </w:r>
    </w:p>
    <w:p w:rsidR="00BF63AF" w:rsidRPr="00577F78" w:rsidRDefault="00577F78" w:rsidP="005337D1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hyperlink r:id="rId8" w:history="1">
        <w:r w:rsidR="00BF63AF" w:rsidRPr="00577F78">
          <w:rPr>
            <w:rFonts w:ascii="Times New Roman" w:eastAsia="Calibri" w:hAnsi="Times New Roman" w:cs="Times New Roman"/>
            <w:color w:val="1F4E79"/>
            <w:sz w:val="28"/>
            <w:szCs w:val="28"/>
            <w:u w:val="single"/>
            <w:lang w:val="uk-UA"/>
          </w:rPr>
          <w:t>https://geographer.com.ua/book</w:t>
        </w:r>
      </w:hyperlink>
    </w:p>
    <w:p w:rsidR="00305173" w:rsidRPr="00577F78" w:rsidRDefault="00BF63AF" w:rsidP="005337D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При цьому </w:t>
      </w:r>
      <w:r w:rsidR="001E42DA" w:rsidRPr="00577F7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джерельною базою </w:t>
      </w:r>
      <w:r w:rsidRPr="00577F7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навчального матеріалу</w:t>
      </w: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рекомендованого учням для опанування, можуть бути підручники, робочі зошити (якщо вони використовуються вчителем), власноруч розроблені матеріали, матеріали інших авторів тощо. </w:t>
      </w:r>
    </w:p>
    <w:p w:rsidR="003D66A6" w:rsidRPr="00577F78" w:rsidRDefault="00305173" w:rsidP="005337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="003D66A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підготовки до зовнішнього незалежного оцінювання, </w:t>
      </w:r>
      <w:r w:rsidR="004F7027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забезпечення </w:t>
      </w:r>
      <w:r w:rsidR="003D66A6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>самостійної перевірки рівня розвитку географічної компетентності</w:t>
      </w:r>
      <w:r w:rsidR="003D66A6" w:rsidRPr="00577F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учням також можна рекомендувати такий вид роботи як </w:t>
      </w:r>
      <w:r w:rsidR="003D66A6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розв’язування тестових завдань, для чого </w:t>
      </w:r>
      <w:r w:rsidR="004F7027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варто </w:t>
      </w:r>
      <w:r w:rsidR="003D66A6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скористатися </w:t>
      </w:r>
      <w:r w:rsidR="003D66A6" w:rsidRPr="00577F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сайтом</w:t>
      </w:r>
      <w:r w:rsidR="003D66A6" w:rsidRPr="00577F7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r w:rsidR="003D66A6" w:rsidRPr="00577F78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https://www.znonasharu.org.ua/</w:t>
        </w:r>
      </w:hyperlink>
      <w:r w:rsidR="004F7027" w:rsidRPr="00577F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304A" w:rsidRPr="00577F78" w:rsidRDefault="0044304A" w:rsidP="005337D1">
      <w:pPr>
        <w:jc w:val="both"/>
        <w:rPr>
          <w:lang w:val="uk-UA"/>
        </w:rPr>
      </w:pPr>
    </w:p>
    <w:sectPr w:rsidR="0044304A" w:rsidRPr="00577F78" w:rsidSect="00236C9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2D7B"/>
    <w:multiLevelType w:val="hybridMultilevel"/>
    <w:tmpl w:val="F064E2A2"/>
    <w:lvl w:ilvl="0" w:tplc="0696156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293BB8"/>
    <w:multiLevelType w:val="hybridMultilevel"/>
    <w:tmpl w:val="509039E2"/>
    <w:lvl w:ilvl="0" w:tplc="DBC6DCFC">
      <w:start w:val="1"/>
      <w:numFmt w:val="decimal"/>
      <w:lvlText w:val="%1."/>
      <w:lvlJc w:val="left"/>
      <w:pPr>
        <w:ind w:left="1004" w:hanging="720"/>
      </w:pPr>
      <w:rPr>
        <w:rFonts w:ascii="Times New Roman" w:hAnsi="Times New Roman" w:cs="Times New Roman" w:hint="default"/>
        <w:color w:val="365F91" w:themeColor="accent1" w:themeShade="B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C0B9A"/>
    <w:multiLevelType w:val="hybridMultilevel"/>
    <w:tmpl w:val="79645196"/>
    <w:lvl w:ilvl="0" w:tplc="A0C4086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E2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1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A3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84C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A0FB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03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A9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AFB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43B56"/>
    <w:rsid w:val="0004578E"/>
    <w:rsid w:val="00104DFF"/>
    <w:rsid w:val="00143B56"/>
    <w:rsid w:val="001E42DA"/>
    <w:rsid w:val="00236C97"/>
    <w:rsid w:val="00305173"/>
    <w:rsid w:val="003D66A6"/>
    <w:rsid w:val="0044304A"/>
    <w:rsid w:val="004F7027"/>
    <w:rsid w:val="005337D1"/>
    <w:rsid w:val="00577F78"/>
    <w:rsid w:val="008C1FA4"/>
    <w:rsid w:val="009609D6"/>
    <w:rsid w:val="0097093F"/>
    <w:rsid w:val="009E4301"/>
    <w:rsid w:val="00B90BBE"/>
    <w:rsid w:val="00B91482"/>
    <w:rsid w:val="00BB40B0"/>
    <w:rsid w:val="00BF63AF"/>
    <w:rsid w:val="00D60305"/>
    <w:rsid w:val="00D673D1"/>
    <w:rsid w:val="00F22445"/>
    <w:rsid w:val="00F5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E0002"/>
  <w15:docId w15:val="{4B9E3D64-478F-44F3-A7E8-CCD2FAA5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B56"/>
    <w:rPr>
      <w:b/>
      <w:bCs/>
    </w:rPr>
  </w:style>
  <w:style w:type="character" w:styleId="a4">
    <w:name w:val="Emphasis"/>
    <w:basedOn w:val="a0"/>
    <w:uiPriority w:val="20"/>
    <w:qFormat/>
    <w:rsid w:val="00143B56"/>
    <w:rPr>
      <w:i/>
      <w:iCs/>
    </w:rPr>
  </w:style>
  <w:style w:type="table" w:styleId="a5">
    <w:name w:val="Table Grid"/>
    <w:basedOn w:val="a1"/>
    <w:uiPriority w:val="59"/>
    <w:rsid w:val="00143B56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43B5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semiHidden/>
    <w:unhideWhenUsed/>
    <w:rsid w:val="00143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grapher.com.ua/boo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arningAp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sstim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eograf.com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nonasharu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</cp:lastModifiedBy>
  <cp:revision>12</cp:revision>
  <cp:lastPrinted>2020-03-17T14:08:00Z</cp:lastPrinted>
  <dcterms:created xsi:type="dcterms:W3CDTF">2020-03-17T08:30:00Z</dcterms:created>
  <dcterms:modified xsi:type="dcterms:W3CDTF">2020-03-17T14:43:00Z</dcterms:modified>
</cp:coreProperties>
</file>